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F10B" w14:textId="70000EB5" w:rsidR="003A5E46" w:rsidRPr="00C560B4" w:rsidRDefault="00FC357B" w:rsidP="004140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Így</w:t>
      </w:r>
      <w:r w:rsidR="00AB1795">
        <w:rPr>
          <w:b/>
          <w:bCs/>
          <w:sz w:val="24"/>
          <w:szCs w:val="24"/>
        </w:rPr>
        <w:t xml:space="preserve"> néz szembe </w:t>
      </w:r>
      <w:r w:rsidR="003A5E46" w:rsidRPr="00C560B4">
        <w:rPr>
          <w:b/>
          <w:bCs/>
          <w:sz w:val="24"/>
          <w:szCs w:val="24"/>
        </w:rPr>
        <w:t>a bankszabályozás</w:t>
      </w:r>
      <w:r w:rsidR="00AB1795">
        <w:rPr>
          <w:b/>
          <w:bCs/>
          <w:sz w:val="24"/>
          <w:szCs w:val="24"/>
        </w:rPr>
        <w:t xml:space="preserve"> a jelenlegi válsággal</w:t>
      </w:r>
    </w:p>
    <w:p w14:paraId="66C0B831" w14:textId="18876BD2" w:rsidR="00732A3F" w:rsidRPr="002E4B25" w:rsidRDefault="004140AC" w:rsidP="004140AC">
      <w:pPr>
        <w:jc w:val="both"/>
        <w:rPr>
          <w:b/>
          <w:bCs/>
        </w:rPr>
      </w:pPr>
      <w:r w:rsidRPr="004140AC">
        <w:t>Budapest, 2022. augusztus 26. –</w:t>
      </w:r>
      <w:r>
        <w:rPr>
          <w:b/>
          <w:bCs/>
        </w:rPr>
        <w:t xml:space="preserve"> </w:t>
      </w:r>
      <w:r w:rsidR="002323F6" w:rsidRPr="002E4B25">
        <w:rPr>
          <w:b/>
          <w:bCs/>
        </w:rPr>
        <w:t>A</w:t>
      </w:r>
      <w:r>
        <w:rPr>
          <w:b/>
          <w:bCs/>
        </w:rPr>
        <w:t xml:space="preserve"> </w:t>
      </w:r>
      <w:r w:rsidR="002323F6" w:rsidRPr="002E4B25">
        <w:rPr>
          <w:b/>
          <w:bCs/>
        </w:rPr>
        <w:t xml:space="preserve">nemzetközi és magyar bankszabályozás számos tanulságot levont a 2008-as globális pénzügyi válságból, </w:t>
      </w:r>
      <w:r w:rsidR="002E4B25" w:rsidRPr="002E4B25">
        <w:rPr>
          <w:b/>
          <w:bCs/>
        </w:rPr>
        <w:t xml:space="preserve">így sok tekintetben </w:t>
      </w:r>
      <w:r w:rsidR="002E4B25">
        <w:rPr>
          <w:b/>
          <w:bCs/>
        </w:rPr>
        <w:t>felkészült</w:t>
      </w:r>
      <w:r w:rsidR="00F966A8">
        <w:rPr>
          <w:b/>
          <w:bCs/>
        </w:rPr>
        <w:t xml:space="preserve"> </w:t>
      </w:r>
      <w:r w:rsidR="002E4B25">
        <w:rPr>
          <w:b/>
          <w:bCs/>
        </w:rPr>
        <w:t xml:space="preserve">a </w:t>
      </w:r>
      <w:r w:rsidR="00F966A8">
        <w:rPr>
          <w:b/>
          <w:bCs/>
        </w:rPr>
        <w:t xml:space="preserve">további kihívásokra. </w:t>
      </w:r>
      <w:r w:rsidR="003A5E46" w:rsidRPr="002E4B25">
        <w:rPr>
          <w:b/>
          <w:bCs/>
        </w:rPr>
        <w:t xml:space="preserve">A jelenlegi </w:t>
      </w:r>
      <w:r w:rsidR="00C560B4" w:rsidRPr="002E4B25">
        <w:rPr>
          <w:b/>
          <w:bCs/>
        </w:rPr>
        <w:t>körülmények</w:t>
      </w:r>
      <w:r w:rsidR="003A5E46" w:rsidRPr="002E4B25">
        <w:rPr>
          <w:b/>
          <w:bCs/>
        </w:rPr>
        <w:t xml:space="preserve"> </w:t>
      </w:r>
      <w:r w:rsidR="002323F6" w:rsidRPr="002E4B25">
        <w:rPr>
          <w:b/>
          <w:bCs/>
        </w:rPr>
        <w:t xml:space="preserve">azonban </w:t>
      </w:r>
      <w:r w:rsidR="003A5E46" w:rsidRPr="002E4B25">
        <w:rPr>
          <w:b/>
          <w:bCs/>
        </w:rPr>
        <w:t>számos tényezőben különböz</w:t>
      </w:r>
      <w:r w:rsidR="002E4B25" w:rsidRPr="002E4B25">
        <w:rPr>
          <w:b/>
          <w:bCs/>
        </w:rPr>
        <w:t>ne</w:t>
      </w:r>
      <w:r w:rsidR="003A5E46" w:rsidRPr="002E4B25">
        <w:rPr>
          <w:b/>
          <w:bCs/>
        </w:rPr>
        <w:t xml:space="preserve">k </w:t>
      </w:r>
      <w:r w:rsidR="002E4B25" w:rsidRPr="002E4B25">
        <w:rPr>
          <w:b/>
          <w:bCs/>
        </w:rPr>
        <w:t>a korábbi válságoktól</w:t>
      </w:r>
      <w:r w:rsidR="00F966A8">
        <w:rPr>
          <w:b/>
          <w:bCs/>
        </w:rPr>
        <w:t>, így a bankfelügyeletnek is f</w:t>
      </w:r>
      <w:r w:rsidR="00F966A8" w:rsidRPr="00F966A8">
        <w:rPr>
          <w:b/>
          <w:bCs/>
        </w:rPr>
        <w:t>olyamatosan lépést kell tartani</w:t>
      </w:r>
      <w:r w:rsidR="00F966A8">
        <w:rPr>
          <w:b/>
          <w:bCs/>
        </w:rPr>
        <w:t>a</w:t>
      </w:r>
      <w:r w:rsidR="00F966A8" w:rsidRPr="00F966A8">
        <w:rPr>
          <w:b/>
          <w:bCs/>
        </w:rPr>
        <w:t xml:space="preserve"> a pénzügyi innovációkkal</w:t>
      </w:r>
      <w:r w:rsidR="00F966A8">
        <w:rPr>
          <w:b/>
          <w:bCs/>
        </w:rPr>
        <w:t xml:space="preserve"> és </w:t>
      </w:r>
      <w:r w:rsidR="00F966A8" w:rsidRPr="00F966A8">
        <w:rPr>
          <w:b/>
          <w:bCs/>
        </w:rPr>
        <w:t xml:space="preserve">az újonnan megjelenő kockázatokkal </w:t>
      </w:r>
      <w:r w:rsidR="00F966A8">
        <w:rPr>
          <w:b/>
          <w:bCs/>
        </w:rPr>
        <w:t xml:space="preserve">– hívja fel a </w:t>
      </w:r>
      <w:r w:rsidR="00F966A8" w:rsidRPr="00CD0714">
        <w:rPr>
          <w:b/>
          <w:bCs/>
        </w:rPr>
        <w:t>figyelmet</w:t>
      </w:r>
      <w:r w:rsidR="00CF7C9C">
        <w:rPr>
          <w:b/>
          <w:bCs/>
        </w:rPr>
        <w:t xml:space="preserve"> </w:t>
      </w:r>
      <w:proofErr w:type="spellStart"/>
      <w:r w:rsidR="00CF7C9C">
        <w:rPr>
          <w:b/>
          <w:bCs/>
        </w:rPr>
        <w:t>Seregdi</w:t>
      </w:r>
      <w:proofErr w:type="spellEnd"/>
      <w:r w:rsidR="00CF7C9C">
        <w:rPr>
          <w:b/>
          <w:bCs/>
        </w:rPr>
        <w:t xml:space="preserve"> László </w:t>
      </w:r>
      <w:r w:rsidR="00CF7C9C" w:rsidRPr="00CD0714">
        <w:rPr>
          <w:b/>
          <w:bCs/>
        </w:rPr>
        <w:t xml:space="preserve">a Magyar Nemzeti Bank felügyeleti </w:t>
      </w:r>
      <w:r w:rsidR="00CF7C9C">
        <w:rPr>
          <w:b/>
          <w:bCs/>
        </w:rPr>
        <w:t>tanácsadója, a</w:t>
      </w:r>
      <w:r w:rsidR="00CF7C9C" w:rsidRPr="00CF7C9C">
        <w:rPr>
          <w:b/>
          <w:bCs/>
        </w:rPr>
        <w:t xml:space="preserve"> Metropolitan Egyetem</w:t>
      </w:r>
      <w:r w:rsidR="00CF7C9C">
        <w:rPr>
          <w:b/>
          <w:bCs/>
        </w:rPr>
        <w:t xml:space="preserve">en </w:t>
      </w:r>
      <w:r w:rsidR="00CF7C9C" w:rsidRPr="00CF7C9C">
        <w:rPr>
          <w:b/>
          <w:bCs/>
        </w:rPr>
        <w:t xml:space="preserve">induló </w:t>
      </w:r>
      <w:r w:rsidR="00CF7C9C" w:rsidRPr="00CF7C9C">
        <w:rPr>
          <w:b/>
          <w:bCs/>
          <w:i/>
          <w:iCs/>
        </w:rPr>
        <w:t>Pénzügyi szabályozási és felügyeleti szakember</w:t>
      </w:r>
      <w:r w:rsidR="00CF7C9C" w:rsidRPr="00CF7C9C">
        <w:rPr>
          <w:b/>
          <w:bCs/>
        </w:rPr>
        <w:t xml:space="preserve"> elnevezésű szakirányú továbbképzés</w:t>
      </w:r>
      <w:r w:rsidR="00CF7C9C">
        <w:rPr>
          <w:b/>
          <w:bCs/>
        </w:rPr>
        <w:t xml:space="preserve"> szakmai felelőse. </w:t>
      </w:r>
    </w:p>
    <w:p w14:paraId="4B2709EA" w14:textId="41DBB8E2" w:rsidR="00732A3F" w:rsidRDefault="00732A3F" w:rsidP="004140AC">
      <w:pPr>
        <w:jc w:val="both"/>
      </w:pPr>
      <w:r w:rsidRPr="00C560B4">
        <w:t>A bankszabályozás elsősorban az újabb és újabb bankválságok hatására változik és fejlődik</w:t>
      </w:r>
      <w:r>
        <w:t xml:space="preserve">. </w:t>
      </w:r>
      <w:r w:rsidR="003A5E46" w:rsidRPr="00C560B4">
        <w:t>A 2000-es évek</w:t>
      </w:r>
      <w:r w:rsidR="00236E1D">
        <w:t xml:space="preserve">ben </w:t>
      </w:r>
      <w:r w:rsidR="00236E1D" w:rsidRPr="00C560B4">
        <w:t xml:space="preserve">a gazdaság élénkítése céljából </w:t>
      </w:r>
      <w:r w:rsidR="003A5E46" w:rsidRPr="00C560B4">
        <w:t xml:space="preserve">a bankszabályozók igyekeztek könnyíteni a bankok működését </w:t>
      </w:r>
      <w:r w:rsidR="00430C37" w:rsidRPr="00C560B4">
        <w:t xml:space="preserve">meghatározó </w:t>
      </w:r>
      <w:proofErr w:type="spellStart"/>
      <w:r w:rsidR="00430C37" w:rsidRPr="00C560B4">
        <w:t>prudenciális</w:t>
      </w:r>
      <w:proofErr w:type="spellEnd"/>
      <w:r w:rsidR="00430C37" w:rsidRPr="00C560B4">
        <w:t xml:space="preserve"> szabályokat. </w:t>
      </w:r>
      <w:r w:rsidR="00D0500D">
        <w:t>T</w:t>
      </w:r>
      <w:r w:rsidR="00C560B4">
        <w:t xml:space="preserve">öbbek között </w:t>
      </w:r>
      <w:r w:rsidR="00430C37" w:rsidRPr="00C560B4">
        <w:t xml:space="preserve">lehetőséget adtak a bankoknak arra, hogy a tőkekövetelményüket belső modellek alapján számítsák ki, és </w:t>
      </w:r>
      <w:r w:rsidR="00C560B4">
        <w:t xml:space="preserve">így </w:t>
      </w:r>
      <w:r w:rsidR="00430C37" w:rsidRPr="00C560B4">
        <w:t>jelentős kedvezményeket érjenek el</w:t>
      </w:r>
      <w:r>
        <w:t xml:space="preserve">. Emellett </w:t>
      </w:r>
      <w:r w:rsidR="00430C37" w:rsidRPr="00C560B4">
        <w:t>olyan instrumentumok</w:t>
      </w:r>
      <w:r>
        <w:t xml:space="preserve">at is </w:t>
      </w:r>
      <w:r w:rsidR="00430C37" w:rsidRPr="00C560B4">
        <w:t>be</w:t>
      </w:r>
      <w:r>
        <w:t xml:space="preserve"> lehetett </w:t>
      </w:r>
      <w:r w:rsidR="00430C37" w:rsidRPr="00C560B4">
        <w:t>számít</w:t>
      </w:r>
      <w:r>
        <w:t xml:space="preserve">ani </w:t>
      </w:r>
      <w:r w:rsidRPr="00C560B4">
        <w:t>szavatoló tőkébe</w:t>
      </w:r>
      <w:r>
        <w:t xml:space="preserve">, </w:t>
      </w:r>
      <w:r w:rsidR="00430C37" w:rsidRPr="00C560B4">
        <w:t xml:space="preserve">amelyek </w:t>
      </w:r>
      <w:r w:rsidR="00C560B4">
        <w:t xml:space="preserve">valójában </w:t>
      </w:r>
      <w:r w:rsidR="00D0500D">
        <w:t xml:space="preserve">később </w:t>
      </w:r>
      <w:r w:rsidR="00430C37" w:rsidRPr="00C560B4">
        <w:t>nem tudták fedezni a válság miatt bekövetkező veszteségeket.</w:t>
      </w:r>
    </w:p>
    <w:p w14:paraId="5EB52D8F" w14:textId="77777777" w:rsidR="004302CC" w:rsidRDefault="00B131BA" w:rsidP="004140AC">
      <w:pPr>
        <w:jc w:val="both"/>
      </w:pPr>
      <w:r>
        <w:t xml:space="preserve">A </w:t>
      </w:r>
      <w:r w:rsidRPr="00C560B4">
        <w:t>2008-as válság ebből a szempontból jelentős fordulópont volt</w:t>
      </w:r>
      <w:r>
        <w:t xml:space="preserve">: </w:t>
      </w:r>
      <w:r w:rsidRPr="00C560B4">
        <w:t>az addigi lazító, kedvezményeket biztosító bankszabályozást jelentősen szigorodó, a biztonságos működést előtérbe helyező megközelítés</w:t>
      </w:r>
      <w:r>
        <w:t xml:space="preserve"> </w:t>
      </w:r>
      <w:r w:rsidRPr="00C560B4">
        <w:t>váltotta</w:t>
      </w:r>
      <w:r>
        <w:t xml:space="preserve"> fel. A </w:t>
      </w:r>
      <w:r w:rsidR="00A1082D" w:rsidRPr="00C560B4">
        <w:t>változtatások kidolgozása és elterjesztése a</w:t>
      </w:r>
      <w:r w:rsidR="00D0500D">
        <w:t xml:space="preserve"> </w:t>
      </w:r>
      <w:r w:rsidR="00D0500D" w:rsidRPr="00C560B4">
        <w:t>bankszabályozás és bankfelügyel</w:t>
      </w:r>
      <w:r w:rsidR="00D0500D">
        <w:t xml:space="preserve">et </w:t>
      </w:r>
      <w:r w:rsidR="00D0500D" w:rsidRPr="00C560B4">
        <w:t xml:space="preserve">terén globális harmonizációs szerepet </w:t>
      </w:r>
      <w:r w:rsidR="00D0500D">
        <w:t>be</w:t>
      </w:r>
      <w:r w:rsidR="00D0500D" w:rsidRPr="00C560B4">
        <w:t>tölt</w:t>
      </w:r>
      <w:r w:rsidR="00D0500D">
        <w:t>ő</w:t>
      </w:r>
      <w:r w:rsidR="00D0500D" w:rsidRPr="00C560B4">
        <w:t xml:space="preserve"> </w:t>
      </w:r>
      <w:r w:rsidR="00A1082D" w:rsidRPr="00C560B4">
        <w:t xml:space="preserve">Bázeli Bankfelügyeleti Bizottsághoz kötődik. </w:t>
      </w:r>
    </w:p>
    <w:p w14:paraId="4E359E19" w14:textId="265F941B" w:rsidR="004302CC" w:rsidRDefault="00430C37" w:rsidP="004140AC">
      <w:pPr>
        <w:jc w:val="both"/>
      </w:pPr>
      <w:r w:rsidRPr="00C560B4">
        <w:t xml:space="preserve">A szabályozás módosításai miatt a bankoknak </w:t>
      </w:r>
      <w:r w:rsidR="00295903" w:rsidRPr="00C560B4">
        <w:t xml:space="preserve">a tőkekövetelményeket jóval magasabb arányban kell jó minőségű szavatoló tőkével fedezniük. </w:t>
      </w:r>
      <w:r w:rsidR="007C2F01" w:rsidRPr="00DB2828">
        <w:t xml:space="preserve">Az egyes országokban létrehozták a pénzügyi rendszer egészét figyelemmel kísérő úgynevezett </w:t>
      </w:r>
      <w:proofErr w:type="spellStart"/>
      <w:r w:rsidR="007C2F01" w:rsidRPr="00DB2828">
        <w:t>makroprudenciális</w:t>
      </w:r>
      <w:proofErr w:type="spellEnd"/>
      <w:r w:rsidR="007C2F01" w:rsidRPr="00DB2828">
        <w:t xml:space="preserve"> felügyeleti hatóságokat, amelyek megfelelő eszközökkel rendelkeznek ahhoz, hogy a rendszerszinten jelentkező kockázatokat is kezelni tudják. </w:t>
      </w:r>
      <w:r w:rsidR="00295903" w:rsidRPr="00C560B4">
        <w:t>A globálisan vagy egy adott országban jelentősnek minősülő bankoknak jóval magasabb tőkekövetelménynek kell eleget tenniük, így kisebb annak a valószínűsége, hogy válságba kerülnek és a fizetési nehézségeik a bankrendszer többi szereplőjére is átterjednek. A bankok likviditásának biztonságosabbá tétele érdekében a szabályozás új, minden bank által teljesítendő mutatószámokat, illetve a likviditási kockázat kezelésére vonatkozó minőségi követelményeket vezetett be.</w:t>
      </w:r>
    </w:p>
    <w:p w14:paraId="66C1A88F" w14:textId="3018A59D" w:rsidR="004302CC" w:rsidRDefault="001D6C30" w:rsidP="004140AC">
      <w:pPr>
        <w:jc w:val="both"/>
      </w:pPr>
      <w:r w:rsidRPr="00DB2828">
        <w:t>M</w:t>
      </w:r>
      <w:r w:rsidR="005859E5" w:rsidRPr="00DB2828">
        <w:t>inden ország</w:t>
      </w:r>
      <w:r w:rsidRPr="00DB2828">
        <w:t>nak létre kellett hoznia</w:t>
      </w:r>
      <w:r w:rsidR="005859E5" w:rsidRPr="00DB2828">
        <w:t xml:space="preserve"> egy szanálási hatóságot, amelyik megköveteli a bankoktól, hogy olyan szavatoló tőkével és leírható vagy átalakítható kötelezettségekkel rendelkez</w:t>
      </w:r>
      <w:r w:rsidRPr="00DB2828">
        <w:t>zenek</w:t>
      </w:r>
      <w:r w:rsidR="005859E5" w:rsidRPr="00DB2828">
        <w:t xml:space="preserve">, amely </w:t>
      </w:r>
      <w:r w:rsidRPr="00DB2828">
        <w:t xml:space="preserve">esetleges válság esetén </w:t>
      </w:r>
      <w:r w:rsidR="005859E5" w:rsidRPr="00DB2828">
        <w:t xml:space="preserve">lehetővé teszi </w:t>
      </w:r>
      <w:r w:rsidR="004302CC" w:rsidRPr="00DB2828">
        <w:t xml:space="preserve">a </w:t>
      </w:r>
      <w:r w:rsidR="005859E5" w:rsidRPr="00DB2828">
        <w:t xml:space="preserve">szanálási eljárás </w:t>
      </w:r>
      <w:r w:rsidRPr="00DB2828">
        <w:t>lefolytatását</w:t>
      </w:r>
      <w:r w:rsidR="005859E5" w:rsidRPr="00DB2828">
        <w:t>.</w:t>
      </w:r>
      <w:r w:rsidR="005859E5" w:rsidRPr="00C560B4">
        <w:t xml:space="preserve"> </w:t>
      </w:r>
    </w:p>
    <w:p w14:paraId="5EC260B6" w14:textId="7BB8BCC0" w:rsidR="003A5E46" w:rsidRPr="00C560B4" w:rsidRDefault="004302CC" w:rsidP="004140AC">
      <w:pPr>
        <w:jc w:val="both"/>
      </w:pPr>
      <w:r>
        <w:t xml:space="preserve">Az </w:t>
      </w:r>
      <w:r w:rsidR="005859E5" w:rsidRPr="00C560B4">
        <w:t>új vállalatirányítási szabályok megkövetelik a bankoktól, hogy az egyes vezető testületei</w:t>
      </w:r>
      <w:r>
        <w:t xml:space="preserve"> – </w:t>
      </w:r>
      <w:r w:rsidR="005859E5" w:rsidRPr="00C560B4">
        <w:t xml:space="preserve">így különösen az igazgatóság és a felügyelő bizottság </w:t>
      </w:r>
      <w:r>
        <w:t xml:space="preserve">– </w:t>
      </w:r>
      <w:r w:rsidR="005859E5" w:rsidRPr="00C560B4">
        <w:t xml:space="preserve">hatékonyabban és nagyobb felelősséggel lássák el a feladataikat, </w:t>
      </w:r>
      <w:r>
        <w:t xml:space="preserve">emellett </w:t>
      </w:r>
      <w:r w:rsidR="005859E5" w:rsidRPr="00C560B4">
        <w:t>megerősít</w:t>
      </w:r>
      <w:r w:rsidR="001D6C30">
        <w:t>etté</w:t>
      </w:r>
      <w:r w:rsidR="005859E5" w:rsidRPr="00C560B4">
        <w:t xml:space="preserve">k a bankokban működtetett kockázatkezelési és belső ellenőrzési funkciókat. </w:t>
      </w:r>
      <w:r>
        <w:t>J</w:t>
      </w:r>
      <w:r w:rsidR="005859E5" w:rsidRPr="00C560B4">
        <w:t>elentősen megnőtt azo</w:t>
      </w:r>
      <w:r>
        <w:t>knak</w:t>
      </w:r>
      <w:r w:rsidR="005859E5" w:rsidRPr="00C560B4">
        <w:t xml:space="preserve"> </w:t>
      </w:r>
      <w:r>
        <w:t xml:space="preserve">az </w:t>
      </w:r>
      <w:r w:rsidR="005859E5" w:rsidRPr="00C560B4">
        <w:t>információk</w:t>
      </w:r>
      <w:r>
        <w:t>nak</w:t>
      </w:r>
      <w:r w:rsidR="005859E5" w:rsidRPr="00C560B4">
        <w:t xml:space="preserve"> </w:t>
      </w:r>
      <w:r>
        <w:t xml:space="preserve">a </w:t>
      </w:r>
      <w:r w:rsidR="005859E5" w:rsidRPr="00C560B4">
        <w:t>köre, amelyeket a bankoknak a saját működésükről nyilvánosságra kell hozni</w:t>
      </w:r>
      <w:r w:rsidR="00BB1998">
        <w:t>uk</w:t>
      </w:r>
      <w:r w:rsidR="005859E5" w:rsidRPr="00C560B4">
        <w:t>, ezáltal a piac is hatékonyabban tud ítéletet mondani egy-egy bank megbízhatóságáról.</w:t>
      </w:r>
    </w:p>
    <w:p w14:paraId="0C0938ED" w14:textId="611611D9" w:rsidR="009F14FF" w:rsidRPr="00C560B4" w:rsidRDefault="00A1082D" w:rsidP="004140AC">
      <w:pPr>
        <w:jc w:val="both"/>
      </w:pPr>
      <w:r w:rsidRPr="00C560B4">
        <w:t>Az Európai Unió a globális fejlesztése</w:t>
      </w:r>
      <w:r w:rsidR="008A794D">
        <w:t>ken túl</w:t>
      </w:r>
      <w:r w:rsidRPr="00C560B4">
        <w:t xml:space="preserve"> számos további módosítást hajtott végre. Létrehozta az eurózóna országaiban működő bankuniót, amelynek keretében az érintett tagállamok legnagyobb bankjait már nem a nemzeti felügyeleti hatóságok, hanem az Európai Központi Bank felügyeli. Jelentősen fejlesztették a betétbiztosítási és a szanálási mechanizmusokat annak érdekében, hogy azok minél</w:t>
      </w:r>
      <w:r w:rsidR="00875AD7">
        <w:t xml:space="preserve"> </w:t>
      </w:r>
      <w:r w:rsidRPr="00C560B4">
        <w:t>egységese</w:t>
      </w:r>
      <w:r w:rsidR="00875AD7">
        <w:t>bbe</w:t>
      </w:r>
      <w:r w:rsidRPr="00C560B4">
        <w:t xml:space="preserve">k </w:t>
      </w:r>
      <w:r w:rsidR="009F14FF" w:rsidRPr="00C560B4">
        <w:t xml:space="preserve">és közösen alkalmazhatóak legyenek. A szabályozás túlnyomó részét irányelvek helyett </w:t>
      </w:r>
      <w:r w:rsidR="00875AD7" w:rsidRPr="00C560B4">
        <w:t>a tagállamok</w:t>
      </w:r>
      <w:r w:rsidR="00875AD7">
        <w:t xml:space="preserve"> által </w:t>
      </w:r>
      <w:r w:rsidR="009F14FF" w:rsidRPr="00C560B4">
        <w:t>közvetlenül alkalmazandó rendeletekben határoz</w:t>
      </w:r>
      <w:r w:rsidR="001D6C30">
        <w:t>t</w:t>
      </w:r>
      <w:r w:rsidR="009F14FF" w:rsidRPr="00C560B4">
        <w:t xml:space="preserve">ák meg. </w:t>
      </w:r>
      <w:r w:rsidR="008A794D">
        <w:t>L</w:t>
      </w:r>
      <w:r w:rsidR="009F14FF" w:rsidRPr="00C560B4">
        <w:t>étrehozták az Európai Bankhatóságot, amely jelentős szerepet tölt be a szabályozás továbbfejlesztése és a felügyeleti módszertanok egységesítése terén</w:t>
      </w:r>
      <w:r w:rsidR="00BC66BD">
        <w:t xml:space="preserve"> – foglalja össze </w:t>
      </w:r>
      <w:proofErr w:type="spellStart"/>
      <w:r w:rsidR="00BC66BD">
        <w:t>Seregdi</w:t>
      </w:r>
      <w:proofErr w:type="spellEnd"/>
      <w:r w:rsidR="00BC66BD">
        <w:t xml:space="preserve"> László</w:t>
      </w:r>
      <w:r w:rsidR="006D704D">
        <w:t>.</w:t>
      </w:r>
    </w:p>
    <w:p w14:paraId="57D3089E" w14:textId="1D8FFADE" w:rsidR="00DB2828" w:rsidRDefault="009F14FF" w:rsidP="004140AC">
      <w:pPr>
        <w:jc w:val="both"/>
        <w:rPr>
          <w:b/>
          <w:bCs/>
        </w:rPr>
      </w:pPr>
      <w:r w:rsidRPr="00C560B4">
        <w:lastRenderedPageBreak/>
        <w:t>A M</w:t>
      </w:r>
      <w:r w:rsidR="008A794D">
        <w:t xml:space="preserve">agyar </w:t>
      </w:r>
      <w:r w:rsidRPr="00C560B4">
        <w:t>N</w:t>
      </w:r>
      <w:r w:rsidR="008A794D">
        <w:t xml:space="preserve">emzeti </w:t>
      </w:r>
      <w:r w:rsidRPr="00C560B4">
        <w:t>B</w:t>
      </w:r>
      <w:r w:rsidR="008A794D">
        <w:t>ank</w:t>
      </w:r>
      <w:r w:rsidRPr="00C560B4">
        <w:t xml:space="preserve"> a hazai pénzügyi rendszer még biztonságosabbá tétele érdekében a különböző felügyeleti ágakért</w:t>
      </w:r>
      <w:r w:rsidR="00875AD7">
        <w:t xml:space="preserve"> </w:t>
      </w:r>
      <w:r w:rsidR="00875AD7" w:rsidRPr="00C560B4">
        <w:t>egyszerre felelős felügyeleti központtá fejlődött</w:t>
      </w:r>
      <w:r w:rsidRPr="00C560B4">
        <w:t>.</w:t>
      </w:r>
      <w:r w:rsidR="00875AD7">
        <w:t xml:space="preserve"> </w:t>
      </w:r>
      <w:r w:rsidRPr="00C560B4">
        <w:t xml:space="preserve">2013 óta az MNB látja el a hazai bankok </w:t>
      </w:r>
      <w:proofErr w:type="spellStart"/>
      <w:r w:rsidRPr="00C560B4">
        <w:t>mikroprudenciális</w:t>
      </w:r>
      <w:proofErr w:type="spellEnd"/>
      <w:r w:rsidRPr="00C560B4">
        <w:t xml:space="preserve"> </w:t>
      </w:r>
      <w:r w:rsidR="00B66EE7">
        <w:t xml:space="preserve">(intézményi szintű) </w:t>
      </w:r>
      <w:r w:rsidRPr="00C560B4">
        <w:t>felügyeletét</w:t>
      </w:r>
      <w:r w:rsidR="00D9696D" w:rsidRPr="00C560B4">
        <w:t xml:space="preserve">, de egyben </w:t>
      </w:r>
      <w:proofErr w:type="spellStart"/>
      <w:r w:rsidR="00D9696D" w:rsidRPr="00C560B4">
        <w:t>makroprudenciális</w:t>
      </w:r>
      <w:proofErr w:type="spellEnd"/>
      <w:r w:rsidR="00D9696D" w:rsidRPr="00C560B4">
        <w:t xml:space="preserve"> és szanálási hatóságként is működik. Ezek a funkciók elkülönülnek egymástól az MNB szervezetében, az egy intézmény keretében való működés azonban lehetővé teszi a szoros együttműködést, a megfelelő információáramlást és a szinergiák kihasználását. Az MNB ráadásul az általa felügyelt pénzügyi szervezetek vonatkozásában fogyasztóvédelmi szerepkört is ellát, így a legfontosabb felügyeleti szerepkörök </w:t>
      </w:r>
      <w:r w:rsidR="0005233C">
        <w:t xml:space="preserve">mind </w:t>
      </w:r>
      <w:r w:rsidR="00D9696D" w:rsidRPr="00C560B4">
        <w:t>egy intézményben összpontosulnak.</w:t>
      </w:r>
    </w:p>
    <w:p w14:paraId="43ABE988" w14:textId="5E444409" w:rsidR="00EE7048" w:rsidRPr="00C560B4" w:rsidRDefault="00D9696D" w:rsidP="004140AC">
      <w:pPr>
        <w:jc w:val="both"/>
      </w:pPr>
      <w:r w:rsidRPr="00C560B4">
        <w:t>A COVID-19 miatti válság egyedülálló volt abból a szempontból, hogy</w:t>
      </w:r>
      <w:r w:rsidR="00032163">
        <w:t xml:space="preserve"> </w:t>
      </w:r>
      <w:r w:rsidRPr="00C560B4">
        <w:t>nem a kedvezőtlen gazdasági folyamatok</w:t>
      </w:r>
      <w:r w:rsidR="00032163">
        <w:t>, hanem egy külső tényező</w:t>
      </w:r>
      <w:r w:rsidRPr="00C560B4">
        <w:t xml:space="preserve"> miatt következett be, így a gazdasági döntéshozóknak is kev</w:t>
      </w:r>
      <w:r w:rsidR="00EE7048" w:rsidRPr="00C560B4">
        <w:t>esebb</w:t>
      </w:r>
      <w:r w:rsidRPr="00C560B4">
        <w:t xml:space="preserve"> ráhatás</w:t>
      </w:r>
      <w:r w:rsidR="007C0D90">
        <w:t>uk</w:t>
      </w:r>
      <w:r w:rsidRPr="00C560B4">
        <w:t xml:space="preserve"> volt </w:t>
      </w:r>
      <w:r w:rsidR="00EE7048" w:rsidRPr="00C560B4">
        <w:t>a válság kezelésére. A rendkívül gyors változások miatt nagyon kevés idő volt a helyes döntések meghozatalára, amely</w:t>
      </w:r>
      <w:r w:rsidR="00032163">
        <w:t>ek</w:t>
      </w:r>
      <w:r w:rsidR="00EE7048" w:rsidRPr="00C560B4">
        <w:t xml:space="preserve"> így a bankrendszer esetében nem a jogszabályok módosítására, hanem inkább a már meglévő felügyeleti eszközök rugalmas alkalmazására irányultak. Az egyes tőkepuffer követelmények alóli mentesítések vagy az osztalékfizetés korlátozása olyan lépések voltak, amelyek</w:t>
      </w:r>
      <w:r w:rsidR="007C0D90">
        <w:t xml:space="preserve">kel </w:t>
      </w:r>
      <w:r w:rsidR="00EE7048" w:rsidRPr="00C560B4">
        <w:t xml:space="preserve">a jogszabályok módosítása </w:t>
      </w:r>
      <w:r w:rsidR="007C0D90">
        <w:t xml:space="preserve">nélkül </w:t>
      </w:r>
      <w:r w:rsidR="00EE7048" w:rsidRPr="00C560B4">
        <w:t xml:space="preserve">gyorsan kezelhetőek voltak a problémák. </w:t>
      </w:r>
      <w:r w:rsidR="007C0D90">
        <w:t xml:space="preserve">Mivel </w:t>
      </w:r>
      <w:r w:rsidR="00EE7048" w:rsidRPr="00C560B4">
        <w:t xml:space="preserve">az azt megelőző években </w:t>
      </w:r>
      <w:r w:rsidR="0033509A">
        <w:t>szigorodtak a szabályok és</w:t>
      </w:r>
      <w:r w:rsidR="00EE7048" w:rsidRPr="00C560B4">
        <w:t xml:space="preserve"> jelentős</w:t>
      </w:r>
      <w:r w:rsidR="0033509A">
        <w:t>en</w:t>
      </w:r>
      <w:r w:rsidR="00EE7048" w:rsidRPr="00C560B4">
        <w:t xml:space="preserve"> </w:t>
      </w:r>
      <w:r w:rsidR="0033509A">
        <w:t>megnövekedtek a tőkekövetelmények</w:t>
      </w:r>
      <w:r w:rsidR="00EE7048" w:rsidRPr="00C560B4">
        <w:t>, így eleve sokkal stabilabb bankrendszernek kellett szembenéznie az újabb válsággal.</w:t>
      </w:r>
    </w:p>
    <w:p w14:paraId="085DA699" w14:textId="1963BD0C" w:rsidR="006705B8" w:rsidRPr="006705B8" w:rsidRDefault="00DA4B17" w:rsidP="004140AC">
      <w:pPr>
        <w:jc w:val="both"/>
        <w:rPr>
          <w:i/>
          <w:iCs/>
        </w:rPr>
      </w:pPr>
      <w:r w:rsidRPr="00DA4B17">
        <w:rPr>
          <w:i/>
          <w:iCs/>
        </w:rPr>
        <w:t>„</w:t>
      </w:r>
      <w:r w:rsidR="00536F68" w:rsidRPr="00DA4B17">
        <w:rPr>
          <w:i/>
          <w:iCs/>
        </w:rPr>
        <w:t xml:space="preserve">A </w:t>
      </w:r>
      <w:r w:rsidR="00454772" w:rsidRPr="00DA4B17">
        <w:rPr>
          <w:i/>
          <w:iCs/>
        </w:rPr>
        <w:t>bankszabályozás és a bankfelügye</w:t>
      </w:r>
      <w:r w:rsidR="00536F68" w:rsidRPr="00DA4B17">
        <w:rPr>
          <w:i/>
          <w:iCs/>
        </w:rPr>
        <w:t xml:space="preserve">let </w:t>
      </w:r>
      <w:r w:rsidR="00EE7048" w:rsidRPr="00DA4B17">
        <w:rPr>
          <w:i/>
          <w:iCs/>
        </w:rPr>
        <w:t>mára kialakult</w:t>
      </w:r>
      <w:r w:rsidR="00454772" w:rsidRPr="00DA4B17">
        <w:rPr>
          <w:i/>
          <w:iCs/>
        </w:rPr>
        <w:t xml:space="preserve"> eszköztára és módszerei</w:t>
      </w:r>
      <w:r w:rsidR="00536F68" w:rsidRPr="00DA4B17">
        <w:rPr>
          <w:i/>
          <w:iCs/>
        </w:rPr>
        <w:t xml:space="preserve"> nem végleges</w:t>
      </w:r>
      <w:r w:rsidR="00A962DE" w:rsidRPr="00DA4B17">
        <w:rPr>
          <w:i/>
          <w:iCs/>
        </w:rPr>
        <w:t>ek</w:t>
      </w:r>
      <w:r w:rsidR="00536F68" w:rsidRPr="00DA4B17">
        <w:rPr>
          <w:i/>
          <w:iCs/>
        </w:rPr>
        <w:t xml:space="preserve">. </w:t>
      </w:r>
      <w:r w:rsidR="00A962DE" w:rsidRPr="00DA4B17">
        <w:rPr>
          <w:i/>
          <w:iCs/>
        </w:rPr>
        <w:t>F</w:t>
      </w:r>
      <w:r w:rsidR="00454772" w:rsidRPr="00DA4B17">
        <w:rPr>
          <w:i/>
          <w:iCs/>
        </w:rPr>
        <w:t>olyamatosan lépést kell tartani a pénzügyi innovációkkal, az újonnan megjelenő kockázatokkal és az esetleges válsághelyzetekkel</w:t>
      </w:r>
      <w:r>
        <w:rPr>
          <w:i/>
          <w:iCs/>
        </w:rPr>
        <w:t xml:space="preserve"> </w:t>
      </w:r>
      <w:r>
        <w:t xml:space="preserve">– mondta </w:t>
      </w:r>
      <w:proofErr w:type="spellStart"/>
      <w:r>
        <w:t>Seregdi</w:t>
      </w:r>
      <w:proofErr w:type="spellEnd"/>
      <w:r>
        <w:t xml:space="preserve"> László, a Magyar Nemzeti Bank felügyeleti tanácsadója, a Budapesti Metropolitan Egyetem szakirányú továbbképzésének szakvezetője.</w:t>
      </w:r>
      <w:r w:rsidR="00454772" w:rsidRPr="00DA4B17">
        <w:rPr>
          <w:i/>
          <w:iCs/>
        </w:rPr>
        <w:t xml:space="preserve"> </w:t>
      </w:r>
      <w:r w:rsidR="00B26696">
        <w:rPr>
          <w:i/>
          <w:iCs/>
        </w:rPr>
        <w:t>–</w:t>
      </w:r>
      <w:r>
        <w:rPr>
          <w:i/>
          <w:iCs/>
        </w:rPr>
        <w:t xml:space="preserve"> </w:t>
      </w:r>
      <w:r w:rsidR="00B26696" w:rsidRPr="006705B8">
        <w:rPr>
          <w:i/>
          <w:iCs/>
        </w:rPr>
        <w:t xml:space="preserve">A </w:t>
      </w:r>
      <w:r w:rsidR="00454772" w:rsidRPr="006705B8">
        <w:rPr>
          <w:i/>
          <w:iCs/>
        </w:rPr>
        <w:t>felügyeleti</w:t>
      </w:r>
      <w:r w:rsidR="00A962DE" w:rsidRPr="006705B8">
        <w:rPr>
          <w:i/>
          <w:iCs/>
        </w:rPr>
        <w:t xml:space="preserve"> és </w:t>
      </w:r>
      <w:r w:rsidR="00454772" w:rsidRPr="006705B8">
        <w:rPr>
          <w:i/>
          <w:iCs/>
        </w:rPr>
        <w:t>a banki szakértőknek is folyamatosan képezniük kell magukat</w:t>
      </w:r>
      <w:r w:rsidR="00695FCC" w:rsidRPr="006705B8">
        <w:rPr>
          <w:i/>
          <w:iCs/>
        </w:rPr>
        <w:t>,</w:t>
      </w:r>
      <w:r w:rsidR="00454772" w:rsidRPr="006705B8">
        <w:rPr>
          <w:i/>
          <w:iCs/>
        </w:rPr>
        <w:t xml:space="preserve"> nyomon követ</w:t>
      </w:r>
      <w:r w:rsidR="00695FCC" w:rsidRPr="006705B8">
        <w:rPr>
          <w:i/>
          <w:iCs/>
        </w:rPr>
        <w:t>ve</w:t>
      </w:r>
      <w:r w:rsidR="00454772" w:rsidRPr="006705B8">
        <w:rPr>
          <w:i/>
          <w:iCs/>
        </w:rPr>
        <w:t xml:space="preserve"> a szabályozás és a módszerek változásait</w:t>
      </w:r>
      <w:r w:rsidRPr="006705B8">
        <w:rPr>
          <w:i/>
          <w:iCs/>
        </w:rPr>
        <w:t>.</w:t>
      </w:r>
      <w:r w:rsidR="006705B8" w:rsidRPr="006705B8">
        <w:rPr>
          <w:i/>
          <w:iCs/>
        </w:rPr>
        <w:t xml:space="preserve"> A Metropolitan Egyetemmel közösen</w:t>
      </w:r>
      <w:r w:rsidR="002E256A">
        <w:rPr>
          <w:i/>
          <w:iCs/>
        </w:rPr>
        <w:t xml:space="preserve"> </w:t>
      </w:r>
      <w:r w:rsidR="00554EFC">
        <w:rPr>
          <w:i/>
          <w:iCs/>
        </w:rPr>
        <w:t>induló</w:t>
      </w:r>
      <w:r w:rsidR="00554EFC" w:rsidRPr="006705B8">
        <w:rPr>
          <w:i/>
          <w:iCs/>
        </w:rPr>
        <w:t xml:space="preserve"> </w:t>
      </w:r>
      <w:r w:rsidR="006705B8" w:rsidRPr="006705B8">
        <w:rPr>
          <w:i/>
          <w:iCs/>
        </w:rPr>
        <w:t>szakirányú továbbképzésünk minden pénzügyi szervezet, illetve az ezek könyvvizsgálatával és tanácsadásával foglalkozó vállalkozások munkatársai számára hasznos lehet.”</w:t>
      </w:r>
    </w:p>
    <w:p w14:paraId="4A521F00" w14:textId="083CC57E" w:rsidR="006705B8" w:rsidRPr="00536F68" w:rsidRDefault="00A962DE" w:rsidP="004140AC">
      <w:pPr>
        <w:jc w:val="both"/>
      </w:pPr>
      <w:r>
        <w:t>A</w:t>
      </w:r>
      <w:r w:rsidR="00454772" w:rsidRPr="00536F68">
        <w:t xml:space="preserve"> Metropolitan Egyetem és a M</w:t>
      </w:r>
      <w:r>
        <w:t xml:space="preserve">agyar </w:t>
      </w:r>
      <w:r w:rsidR="00454772" w:rsidRPr="00536F68">
        <w:t>N</w:t>
      </w:r>
      <w:r>
        <w:t xml:space="preserve">emzeti </w:t>
      </w:r>
      <w:r w:rsidR="00454772" w:rsidRPr="00536F68">
        <w:t>B</w:t>
      </w:r>
      <w:r>
        <w:t>ank</w:t>
      </w:r>
      <w:r w:rsidR="00454772" w:rsidRPr="00536F68">
        <w:t xml:space="preserve"> szeptembertől </w:t>
      </w:r>
      <w:r w:rsidR="00DA4B17">
        <w:t xml:space="preserve">induló </w:t>
      </w:r>
      <w:r w:rsidR="00062F37" w:rsidRPr="00062F37">
        <w:rPr>
          <w:i/>
          <w:iCs/>
        </w:rPr>
        <w:t>Pénzügyi szabályozási és felügyeleti szakember</w:t>
      </w:r>
      <w:r w:rsidR="00062F37">
        <w:t xml:space="preserve"> elnevezésű </w:t>
      </w:r>
      <w:r w:rsidR="00454772" w:rsidRPr="00536F68">
        <w:t>szakirányú továbbképzés</w:t>
      </w:r>
      <w:r w:rsidR="00DA4B17">
        <w:t xml:space="preserve">én </w:t>
      </w:r>
      <w:r w:rsidR="00E12119" w:rsidRPr="00536F68">
        <w:t xml:space="preserve">a hallgatók </w:t>
      </w:r>
      <w:r>
        <w:t xml:space="preserve">a központi bank </w:t>
      </w:r>
      <w:r w:rsidRPr="00536F68">
        <w:t xml:space="preserve">szakértőinek közreműködésével </w:t>
      </w:r>
      <w:r>
        <w:t xml:space="preserve">kapnak </w:t>
      </w:r>
      <w:r w:rsidR="00E12119" w:rsidRPr="00536F68">
        <w:t>o</w:t>
      </w:r>
      <w:r w:rsidR="0005233C" w:rsidRPr="00536F68">
        <w:t>k</w:t>
      </w:r>
      <w:r w:rsidR="00E12119" w:rsidRPr="00536F68">
        <w:t>tatást a banki, tőkepiaci, biztosítási és pénztár szektor szabályozásáról és felügyeletéről</w:t>
      </w:r>
      <w:r>
        <w:t>. A</w:t>
      </w:r>
      <w:r w:rsidR="00E12119" w:rsidRPr="00536F68">
        <w:t xml:space="preserve"> tantárgyak olyan aktuális témákkal is</w:t>
      </w:r>
      <w:r>
        <w:t xml:space="preserve"> </w:t>
      </w:r>
      <w:r w:rsidRPr="00536F68">
        <w:t>kiegészülnek</w:t>
      </w:r>
      <w:r w:rsidR="00E12119" w:rsidRPr="00536F68">
        <w:t xml:space="preserve">, mint a pénzügyi digitalizáció, a fenntartható pénzügyek vagy a blokklánc és </w:t>
      </w:r>
      <w:r>
        <w:t xml:space="preserve">a </w:t>
      </w:r>
      <w:proofErr w:type="spellStart"/>
      <w:r w:rsidR="00E12119" w:rsidRPr="00536F68">
        <w:t>kriptoeszközök</w:t>
      </w:r>
      <w:proofErr w:type="spellEnd"/>
      <w:r w:rsidR="00E12119" w:rsidRPr="00536F68">
        <w:t>.</w:t>
      </w:r>
    </w:p>
    <w:p w14:paraId="449B7E5E" w14:textId="77777777" w:rsidR="00196D12" w:rsidRPr="00A76ECC" w:rsidRDefault="00196D12" w:rsidP="004140AC">
      <w:pPr>
        <w:jc w:val="both"/>
        <w:rPr>
          <w:sz w:val="28"/>
          <w:szCs w:val="28"/>
        </w:rPr>
      </w:pPr>
      <w:r w:rsidRPr="00A76ECC">
        <w:rPr>
          <w:b/>
          <w:bCs/>
          <w:sz w:val="28"/>
          <w:szCs w:val="28"/>
        </w:rPr>
        <w:t>Budapesti Metropolitan Egyetem</w:t>
      </w:r>
      <w:r w:rsidRPr="00A76ECC">
        <w:rPr>
          <w:b/>
          <w:bCs/>
          <w:sz w:val="28"/>
          <w:szCs w:val="28"/>
        </w:rPr>
        <w:tab/>
      </w:r>
      <w:r w:rsidRPr="00A76ECC">
        <w:rPr>
          <w:b/>
          <w:bCs/>
          <w:sz w:val="28"/>
          <w:szCs w:val="28"/>
        </w:rPr>
        <w:tab/>
      </w:r>
      <w:r w:rsidRPr="00A76ECC">
        <w:rPr>
          <w:b/>
          <w:bCs/>
          <w:sz w:val="28"/>
          <w:szCs w:val="28"/>
        </w:rPr>
        <w:tab/>
        <w:t>Magyar Nemzeti Bank</w:t>
      </w:r>
    </w:p>
    <w:p w14:paraId="22F89BE3" w14:textId="77777777" w:rsidR="003A5E46" w:rsidRPr="00C560B4" w:rsidRDefault="003A5E46" w:rsidP="004140AC">
      <w:pPr>
        <w:jc w:val="both"/>
      </w:pPr>
    </w:p>
    <w:sectPr w:rsidR="003A5E46" w:rsidRPr="00C560B4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A626" w14:textId="77777777" w:rsidR="00161B05" w:rsidRDefault="00161B05">
      <w:r>
        <w:separator/>
      </w:r>
    </w:p>
  </w:endnote>
  <w:endnote w:type="continuationSeparator" w:id="0">
    <w:p w14:paraId="772E62BC" w14:textId="77777777" w:rsidR="00161B05" w:rsidRDefault="001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3A59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D1FA" w14:textId="77777777" w:rsidR="00161B05" w:rsidRDefault="00161B05">
      <w:r>
        <w:separator/>
      </w:r>
    </w:p>
  </w:footnote>
  <w:footnote w:type="continuationSeparator" w:id="0">
    <w:p w14:paraId="07BDC65E" w14:textId="77777777" w:rsidR="00161B05" w:rsidRDefault="0016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C48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94436">
    <w:abstractNumId w:val="4"/>
  </w:num>
  <w:num w:numId="2" w16cid:durableId="753551758">
    <w:abstractNumId w:val="2"/>
  </w:num>
  <w:num w:numId="3" w16cid:durableId="19165949">
    <w:abstractNumId w:val="5"/>
  </w:num>
  <w:num w:numId="4" w16cid:durableId="521742135">
    <w:abstractNumId w:val="0"/>
  </w:num>
  <w:num w:numId="5" w16cid:durableId="668798019">
    <w:abstractNumId w:val="1"/>
  </w:num>
  <w:num w:numId="6" w16cid:durableId="376635549">
    <w:abstractNumId w:val="7"/>
  </w:num>
  <w:num w:numId="7" w16cid:durableId="133186117">
    <w:abstractNumId w:val="3"/>
  </w:num>
  <w:num w:numId="8" w16cid:durableId="628246004">
    <w:abstractNumId w:val="9"/>
  </w:num>
  <w:num w:numId="9" w16cid:durableId="608972213">
    <w:abstractNumId w:val="7"/>
    <w:lvlOverride w:ilvl="0">
      <w:startOverride w:val="1"/>
    </w:lvlOverride>
  </w:num>
  <w:num w:numId="10" w16cid:durableId="1826511391">
    <w:abstractNumId w:val="10"/>
  </w:num>
  <w:num w:numId="11" w16cid:durableId="900792633">
    <w:abstractNumId w:val="8"/>
  </w:num>
  <w:num w:numId="12" w16cid:durableId="600458107">
    <w:abstractNumId w:val="6"/>
  </w:num>
  <w:num w:numId="13" w16cid:durableId="1880044284">
    <w:abstractNumId w:val="5"/>
  </w:num>
  <w:num w:numId="14" w16cid:durableId="1521241527">
    <w:abstractNumId w:val="5"/>
  </w:num>
  <w:num w:numId="15" w16cid:durableId="667710757">
    <w:abstractNumId w:val="5"/>
  </w:num>
  <w:num w:numId="16" w16cid:durableId="1695182769">
    <w:abstractNumId w:val="5"/>
  </w:num>
  <w:num w:numId="17" w16cid:durableId="836967774">
    <w:abstractNumId w:val="5"/>
  </w:num>
  <w:num w:numId="18" w16cid:durableId="181687119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46"/>
    <w:rsid w:val="0000273C"/>
    <w:rsid w:val="00014E35"/>
    <w:rsid w:val="00017B1B"/>
    <w:rsid w:val="0002498B"/>
    <w:rsid w:val="000250E6"/>
    <w:rsid w:val="00027695"/>
    <w:rsid w:val="00027B62"/>
    <w:rsid w:val="00032163"/>
    <w:rsid w:val="00033357"/>
    <w:rsid w:val="00035697"/>
    <w:rsid w:val="0005233C"/>
    <w:rsid w:val="00054D7C"/>
    <w:rsid w:val="0005577F"/>
    <w:rsid w:val="00060148"/>
    <w:rsid w:val="00062F37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E89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1B05"/>
    <w:rsid w:val="00166F6C"/>
    <w:rsid w:val="001747F6"/>
    <w:rsid w:val="0018359E"/>
    <w:rsid w:val="0018619A"/>
    <w:rsid w:val="001870A7"/>
    <w:rsid w:val="00196D12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C30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23F6"/>
    <w:rsid w:val="00236E1D"/>
    <w:rsid w:val="00240C97"/>
    <w:rsid w:val="0024525F"/>
    <w:rsid w:val="002522F1"/>
    <w:rsid w:val="00252C8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5903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1886"/>
    <w:rsid w:val="002D5E55"/>
    <w:rsid w:val="002E256A"/>
    <w:rsid w:val="002E4B25"/>
    <w:rsid w:val="002F34ED"/>
    <w:rsid w:val="002F602F"/>
    <w:rsid w:val="00300EE3"/>
    <w:rsid w:val="00302136"/>
    <w:rsid w:val="003064F4"/>
    <w:rsid w:val="00313246"/>
    <w:rsid w:val="003231ED"/>
    <w:rsid w:val="00327A74"/>
    <w:rsid w:val="0033509A"/>
    <w:rsid w:val="00341BB5"/>
    <w:rsid w:val="00343614"/>
    <w:rsid w:val="0035153B"/>
    <w:rsid w:val="003524A6"/>
    <w:rsid w:val="003548F7"/>
    <w:rsid w:val="0036644A"/>
    <w:rsid w:val="003701D4"/>
    <w:rsid w:val="003704B1"/>
    <w:rsid w:val="003728FE"/>
    <w:rsid w:val="0037297B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5E46"/>
    <w:rsid w:val="003B12B2"/>
    <w:rsid w:val="003B46BE"/>
    <w:rsid w:val="003B6C38"/>
    <w:rsid w:val="003C5699"/>
    <w:rsid w:val="003D04DD"/>
    <w:rsid w:val="003D52BC"/>
    <w:rsid w:val="003F128A"/>
    <w:rsid w:val="004140AC"/>
    <w:rsid w:val="0041484F"/>
    <w:rsid w:val="00423D50"/>
    <w:rsid w:val="004302CC"/>
    <w:rsid w:val="00430C37"/>
    <w:rsid w:val="0043276D"/>
    <w:rsid w:val="004330EA"/>
    <w:rsid w:val="00434DC6"/>
    <w:rsid w:val="004413FF"/>
    <w:rsid w:val="00442ABF"/>
    <w:rsid w:val="004451FE"/>
    <w:rsid w:val="00453087"/>
    <w:rsid w:val="00454772"/>
    <w:rsid w:val="00455A38"/>
    <w:rsid w:val="00465939"/>
    <w:rsid w:val="0047029F"/>
    <w:rsid w:val="004729CE"/>
    <w:rsid w:val="00474131"/>
    <w:rsid w:val="004775EE"/>
    <w:rsid w:val="0048183A"/>
    <w:rsid w:val="00491483"/>
    <w:rsid w:val="004919C2"/>
    <w:rsid w:val="004924CA"/>
    <w:rsid w:val="00494C89"/>
    <w:rsid w:val="004A58E3"/>
    <w:rsid w:val="004A5F09"/>
    <w:rsid w:val="004B1A68"/>
    <w:rsid w:val="004B441F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6F68"/>
    <w:rsid w:val="00544934"/>
    <w:rsid w:val="00554EFC"/>
    <w:rsid w:val="00557A68"/>
    <w:rsid w:val="00561175"/>
    <w:rsid w:val="005648EE"/>
    <w:rsid w:val="00571C3C"/>
    <w:rsid w:val="00572DFA"/>
    <w:rsid w:val="005763C5"/>
    <w:rsid w:val="00581D24"/>
    <w:rsid w:val="0058459E"/>
    <w:rsid w:val="005859E5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05B8"/>
    <w:rsid w:val="0067570F"/>
    <w:rsid w:val="00681108"/>
    <w:rsid w:val="00690C97"/>
    <w:rsid w:val="0069441B"/>
    <w:rsid w:val="00695FCC"/>
    <w:rsid w:val="006A54BA"/>
    <w:rsid w:val="006A66EB"/>
    <w:rsid w:val="006B0392"/>
    <w:rsid w:val="006B2726"/>
    <w:rsid w:val="006B4271"/>
    <w:rsid w:val="006B5127"/>
    <w:rsid w:val="006C2C3D"/>
    <w:rsid w:val="006C4871"/>
    <w:rsid w:val="006C700F"/>
    <w:rsid w:val="006D0881"/>
    <w:rsid w:val="006D3867"/>
    <w:rsid w:val="006D4D80"/>
    <w:rsid w:val="006D704D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278A3"/>
    <w:rsid w:val="00732A3F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0D90"/>
    <w:rsid w:val="007C2F01"/>
    <w:rsid w:val="007D02B6"/>
    <w:rsid w:val="007D67A3"/>
    <w:rsid w:val="007D7E92"/>
    <w:rsid w:val="007E0286"/>
    <w:rsid w:val="007F197C"/>
    <w:rsid w:val="007F1D57"/>
    <w:rsid w:val="007F7E59"/>
    <w:rsid w:val="00801F64"/>
    <w:rsid w:val="00823B7E"/>
    <w:rsid w:val="0083252A"/>
    <w:rsid w:val="008349B3"/>
    <w:rsid w:val="0083670C"/>
    <w:rsid w:val="008370C0"/>
    <w:rsid w:val="00840065"/>
    <w:rsid w:val="00844283"/>
    <w:rsid w:val="0084457B"/>
    <w:rsid w:val="0084582F"/>
    <w:rsid w:val="00847343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5AD7"/>
    <w:rsid w:val="008935BD"/>
    <w:rsid w:val="008936DF"/>
    <w:rsid w:val="008A1C40"/>
    <w:rsid w:val="008A794D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14FF"/>
    <w:rsid w:val="009F413A"/>
    <w:rsid w:val="009F7D81"/>
    <w:rsid w:val="00A00F2A"/>
    <w:rsid w:val="00A01A1A"/>
    <w:rsid w:val="00A03212"/>
    <w:rsid w:val="00A1082D"/>
    <w:rsid w:val="00A15956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962DE"/>
    <w:rsid w:val="00AA7D28"/>
    <w:rsid w:val="00AB1795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31BA"/>
    <w:rsid w:val="00B15880"/>
    <w:rsid w:val="00B1673D"/>
    <w:rsid w:val="00B250ED"/>
    <w:rsid w:val="00B25C26"/>
    <w:rsid w:val="00B261BA"/>
    <w:rsid w:val="00B26696"/>
    <w:rsid w:val="00B3064A"/>
    <w:rsid w:val="00B3473A"/>
    <w:rsid w:val="00B36061"/>
    <w:rsid w:val="00B36A9C"/>
    <w:rsid w:val="00B37787"/>
    <w:rsid w:val="00B4230E"/>
    <w:rsid w:val="00B44DED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66EE7"/>
    <w:rsid w:val="00B702D5"/>
    <w:rsid w:val="00B723C6"/>
    <w:rsid w:val="00B800CB"/>
    <w:rsid w:val="00B8074B"/>
    <w:rsid w:val="00B8101A"/>
    <w:rsid w:val="00B861AB"/>
    <w:rsid w:val="00B944EB"/>
    <w:rsid w:val="00BA0CF4"/>
    <w:rsid w:val="00BA2A45"/>
    <w:rsid w:val="00BB1998"/>
    <w:rsid w:val="00BB27C2"/>
    <w:rsid w:val="00BB7D50"/>
    <w:rsid w:val="00BC66BD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560B4"/>
    <w:rsid w:val="00C63F2A"/>
    <w:rsid w:val="00C64F11"/>
    <w:rsid w:val="00C72FB8"/>
    <w:rsid w:val="00C907C0"/>
    <w:rsid w:val="00C93837"/>
    <w:rsid w:val="00CA398B"/>
    <w:rsid w:val="00CC4CB1"/>
    <w:rsid w:val="00CD0714"/>
    <w:rsid w:val="00CD36BC"/>
    <w:rsid w:val="00CD6E8D"/>
    <w:rsid w:val="00CD724F"/>
    <w:rsid w:val="00CE188C"/>
    <w:rsid w:val="00CE5A20"/>
    <w:rsid w:val="00CF148C"/>
    <w:rsid w:val="00CF7C9C"/>
    <w:rsid w:val="00D00D53"/>
    <w:rsid w:val="00D02170"/>
    <w:rsid w:val="00D03058"/>
    <w:rsid w:val="00D0500D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9696D"/>
    <w:rsid w:val="00DA2679"/>
    <w:rsid w:val="00DA3039"/>
    <w:rsid w:val="00DA4B17"/>
    <w:rsid w:val="00DA6B88"/>
    <w:rsid w:val="00DA73B6"/>
    <w:rsid w:val="00DB127D"/>
    <w:rsid w:val="00DB2828"/>
    <w:rsid w:val="00DD62AD"/>
    <w:rsid w:val="00DD7153"/>
    <w:rsid w:val="00DE1E9E"/>
    <w:rsid w:val="00DF4F58"/>
    <w:rsid w:val="00E11F2F"/>
    <w:rsid w:val="00E12119"/>
    <w:rsid w:val="00E13A3A"/>
    <w:rsid w:val="00E14CD2"/>
    <w:rsid w:val="00E27834"/>
    <w:rsid w:val="00E301AE"/>
    <w:rsid w:val="00E315BC"/>
    <w:rsid w:val="00E33610"/>
    <w:rsid w:val="00E35139"/>
    <w:rsid w:val="00E42804"/>
    <w:rsid w:val="00E44555"/>
    <w:rsid w:val="00E4526A"/>
    <w:rsid w:val="00E50608"/>
    <w:rsid w:val="00E50865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7048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4C35"/>
    <w:rsid w:val="00F86B33"/>
    <w:rsid w:val="00F91C17"/>
    <w:rsid w:val="00F949B1"/>
    <w:rsid w:val="00F958EE"/>
    <w:rsid w:val="00F966A8"/>
    <w:rsid w:val="00F96EEB"/>
    <w:rsid w:val="00F96F8A"/>
    <w:rsid w:val="00F9761F"/>
    <w:rsid w:val="00FA102C"/>
    <w:rsid w:val="00FB3124"/>
    <w:rsid w:val="00FB32EE"/>
    <w:rsid w:val="00FC357B"/>
    <w:rsid w:val="00FC5616"/>
    <w:rsid w:val="00FD328C"/>
    <w:rsid w:val="00FD7299"/>
    <w:rsid w:val="00FE2094"/>
    <w:rsid w:val="00FE764B"/>
    <w:rsid w:val="00FE7CA1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08ACA"/>
  <w15:chartTrackingRefBased/>
  <w15:docId w15:val="{9984DB4D-9191-45C5-BEC5-94E1248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C38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4457B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84457B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84457B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84457B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84457B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84457B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457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457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457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B6C3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B6C38"/>
  </w:style>
  <w:style w:type="table" w:customStyle="1" w:styleId="tblzat-mtrix">
    <w:name w:val="táblázat - mátrix"/>
    <w:basedOn w:val="Normltblzat"/>
    <w:uiPriority w:val="2"/>
    <w:qFormat/>
    <w:rsid w:val="0084457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84457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4457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84457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84457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84457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457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84457B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45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445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4457B"/>
  </w:style>
  <w:style w:type="paragraph" w:styleId="llb">
    <w:name w:val="footer"/>
    <w:basedOn w:val="Norml"/>
    <w:link w:val="llbChar"/>
    <w:uiPriority w:val="99"/>
    <w:semiHidden/>
    <w:unhideWhenUsed/>
    <w:rsid w:val="008445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4457B"/>
  </w:style>
  <w:style w:type="paragraph" w:customStyle="1" w:styleId="Szmozs">
    <w:name w:val="Számozás"/>
    <w:basedOn w:val="Norml"/>
    <w:uiPriority w:val="4"/>
    <w:qFormat/>
    <w:rsid w:val="0084457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84457B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84457B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84457B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84457B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84457B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84457B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84457B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84457B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84457B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457B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457B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457B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4457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84457B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84457B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84457B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84457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84457B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4457B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84457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84457B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84457B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4457B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4457B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84457B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84457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84457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84457B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84457B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84457B"/>
  </w:style>
  <w:style w:type="character" w:styleId="Finomhivatkozs">
    <w:name w:val="Subtle Reference"/>
    <w:basedOn w:val="Bekezdsalapbettpusa"/>
    <w:uiPriority w:val="31"/>
    <w:rsid w:val="0084457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84457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4457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84457B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84457B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84457B"/>
  </w:style>
  <w:style w:type="paragraph" w:styleId="Alcm">
    <w:name w:val="Subtitle"/>
    <w:basedOn w:val="Norml"/>
    <w:next w:val="Norml"/>
    <w:link w:val="AlcmChar"/>
    <w:uiPriority w:val="11"/>
    <w:rsid w:val="0084457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4457B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84457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84457B"/>
  </w:style>
  <w:style w:type="paragraph" w:customStyle="1" w:styleId="Erskiemels1">
    <w:name w:val="Erős kiemelés1"/>
    <w:basedOn w:val="Norml"/>
    <w:link w:val="ErskiemelsChar"/>
    <w:uiPriority w:val="5"/>
    <w:qFormat/>
    <w:rsid w:val="0084457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84457B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84457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84457B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84457B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4457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84457B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84457B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84457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84457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84457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4457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84457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84457B"/>
  </w:style>
  <w:style w:type="character" w:styleId="Kiemels2">
    <w:name w:val="Strong"/>
    <w:basedOn w:val="Bekezdsalapbettpusa"/>
    <w:uiPriority w:val="22"/>
    <w:rsid w:val="0084457B"/>
    <w:rPr>
      <w:b/>
      <w:bCs/>
    </w:rPr>
  </w:style>
  <w:style w:type="character" w:styleId="Kiemels">
    <w:name w:val="Emphasis"/>
    <w:basedOn w:val="Bekezdsalapbettpusa"/>
    <w:uiPriority w:val="6"/>
    <w:qFormat/>
    <w:rsid w:val="0084457B"/>
    <w:rPr>
      <w:i/>
      <w:iCs/>
    </w:rPr>
  </w:style>
  <w:style w:type="paragraph" w:styleId="Nincstrkz">
    <w:name w:val="No Spacing"/>
    <w:basedOn w:val="Norml"/>
    <w:uiPriority w:val="1"/>
    <w:rsid w:val="0084457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84457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84457B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84457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457B"/>
    <w:rPr>
      <w:b/>
      <w:i/>
    </w:rPr>
  </w:style>
  <w:style w:type="character" w:styleId="Erskiemels">
    <w:name w:val="Intense Emphasis"/>
    <w:basedOn w:val="Bekezdsalapbettpusa"/>
    <w:uiPriority w:val="21"/>
    <w:rsid w:val="0084457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84457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4457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84457B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84457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84457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84457B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84457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84457B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84457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84457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84457B"/>
  </w:style>
  <w:style w:type="paragraph" w:customStyle="1" w:styleId="ENNormalBox">
    <w:name w:val="EN_Normal_Box"/>
    <w:basedOn w:val="Norml"/>
    <w:uiPriority w:val="1"/>
    <w:qFormat/>
    <w:rsid w:val="0084457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84457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84457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84457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84457B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84457B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84457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84457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84457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84457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84457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84457B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84457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84457B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84457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84457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84457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84457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84457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84457B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84457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84457B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84457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84457B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84457B"/>
    <w:rPr>
      <w:b w:val="0"/>
      <w:caps w:val="0"/>
      <w:sz w:val="52"/>
    </w:rPr>
  </w:style>
  <w:style w:type="paragraph" w:styleId="Vltozat">
    <w:name w:val="Revision"/>
    <w:hidden/>
    <w:uiPriority w:val="99"/>
    <w:semiHidden/>
    <w:rsid w:val="00111E89"/>
  </w:style>
  <w:style w:type="character" w:styleId="Jegyzethivatkozs">
    <w:name w:val="annotation reference"/>
    <w:basedOn w:val="Bekezdsalapbettpusa"/>
    <w:uiPriority w:val="99"/>
    <w:semiHidden/>
    <w:unhideWhenUsed/>
    <w:rsid w:val="007278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278A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7278A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78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78A3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CF7C9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6B97498-80F7-487A-A946-C12615F1945A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D4D3B473-5F67-4E7D-85EB-9C3E676F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ABD8D-FBEC-4A76-B709-ED14A6A1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5D236-716B-4271-B4BA-F2D3521C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</dc:creator>
  <cp:keywords/>
  <dc:description/>
  <cp:lastModifiedBy>Ragó Brigitta Viktória</cp:lastModifiedBy>
  <cp:revision>2</cp:revision>
  <cp:lastPrinted>1900-12-31T23:00:00Z</cp:lastPrinted>
  <dcterms:created xsi:type="dcterms:W3CDTF">2022-08-29T08:28:00Z</dcterms:created>
  <dcterms:modified xsi:type="dcterms:W3CDTF">2022-08-29T08:28:00Z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2027-08-17T13:08:02Z</vt:filetime>
  </property>
  <property fmtid="{D5CDD505-2E9C-101B-9397-08002B2CF9AE}" pid="3" name="Érvényességet beállító">
    <vt:lpwstr>seregdil</vt:lpwstr>
  </property>
  <property fmtid="{D5CDD505-2E9C-101B-9397-08002B2CF9AE}" pid="4" name="Érvényességi idő első beállítása">
    <vt:filetime>2022-08-17T13:08:02Z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seregdil@mnb.hu</vt:lpwstr>
  </property>
  <property fmtid="{D5CDD505-2E9C-101B-9397-08002B2CF9AE}" pid="8" name="MSIP_Label_b0d11092-50c9-4e74-84b5-b1af078dc3d0_SetDate">
    <vt:lpwstr>2022-08-17T13:59:54.0116168Z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d10de2d6-7e90-4e49-accf-15559d55adde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0x0101007E97FDA588FDC2459E381E54044F9FC6</vt:lpwstr>
  </property>
</Properties>
</file>